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14" w:rsidRPr="00085D06" w:rsidRDefault="00753014" w:rsidP="00236C50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0"/>
        <w:gridCol w:w="1910"/>
        <w:gridCol w:w="1130"/>
        <w:gridCol w:w="1972"/>
        <w:gridCol w:w="1225"/>
      </w:tblGrid>
      <w:tr w:rsidR="00753014" w:rsidRPr="00C24540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C24540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5C7F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 </w:t>
            </w:r>
            <w:r w:rsidR="0037613C" w:rsidRPr="00C2454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Специјалистичке струковне студије </w:t>
            </w:r>
            <w:r w:rsidR="003761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Процена безбедносних ризика</w:t>
            </w:r>
          </w:p>
        </w:tc>
      </w:tr>
      <w:tr w:rsidR="00753014" w:rsidRPr="00C24540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C24540" w:rsidRDefault="00753014" w:rsidP="003761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7613C" w:rsidRPr="00C2454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Регулаторни оквир еколошке безбедности</w:t>
            </w:r>
          </w:p>
        </w:tc>
      </w:tr>
      <w:tr w:rsidR="00753014" w:rsidRPr="00C24540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36C5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C7F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Дејана Јовановић Поповић</w:t>
            </w:r>
            <w:r w:rsidR="007F6C3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, Јелена Ђесаревић</w:t>
            </w:r>
          </w:p>
        </w:tc>
      </w:tr>
      <w:tr w:rsidR="00753014" w:rsidRPr="00236C50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C2454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C7F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761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Изборни </w:t>
            </w:r>
          </w:p>
        </w:tc>
      </w:tr>
      <w:tr w:rsidR="00753014" w:rsidRPr="00092214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C7F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6</w:t>
            </w:r>
          </w:p>
        </w:tc>
      </w:tr>
      <w:tr w:rsidR="00753014" w:rsidRPr="00C24540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761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180 ЕЦПБ у предходном школовању</w:t>
            </w:r>
          </w:p>
        </w:tc>
      </w:tr>
      <w:tr w:rsidR="00753014" w:rsidRPr="00C24540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4762D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53014" w:rsidRPr="00C24540" w:rsidRDefault="00204A48" w:rsidP="004762D7">
            <w:pPr>
              <w:jc w:val="both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  <w:r w:rsidRPr="00C24540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>Оспособљеност за израду аката из области заштите животне средине. Оспособљеност за успостављање адекватних политика заштите животне средине у организацији. Оспособљеност за идентификацију и утврђивање различитих аспеката утицаја организације на животну средину</w:t>
            </w:r>
            <w:r w:rsidR="00BE1DEC" w:rsidRPr="00C24540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. Познавање законских </w:t>
            </w:r>
            <w:r w:rsidRPr="00C24540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захтева </w:t>
            </w:r>
            <w:r w:rsidR="00BE1DEC" w:rsidRPr="00C24540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и других захтева </w:t>
            </w:r>
            <w:r w:rsidRPr="00C24540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>који долазе из спољњег окружења. Израда стратегија и програма за спровођење политике заштите животне средине у организацији.</w:t>
            </w:r>
          </w:p>
        </w:tc>
      </w:tr>
      <w:tr w:rsidR="00753014" w:rsidRPr="00C24540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B01E76" w:rsidRDefault="00753014" w:rsidP="004762D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01E7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53014" w:rsidRPr="00B01E76" w:rsidRDefault="00B01E76" w:rsidP="00C47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</w:pPr>
            <w:r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Разумевање Система менаџмента животном средином (</w:t>
            </w:r>
            <w:r w:rsidRPr="00B01E76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ISO</w:t>
            </w:r>
            <w:r w:rsidRPr="00236C50">
              <w:rPr>
                <w:rFonts w:ascii="Times New Roman" w:eastAsia="Times New Roman" w:hAnsi="Times New Roman"/>
                <w:color w:val="222222"/>
                <w:sz w:val="16"/>
                <w:szCs w:val="16"/>
                <w:lang w:val="ru-RU"/>
              </w:rPr>
              <w:t xml:space="preserve"> 14001:2015) </w:t>
            </w:r>
            <w:r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у смислу унапређења перформанси и одговорности организације у заштити жив</w:t>
            </w:r>
            <w:bookmarkStart w:id="0" w:name="_GoBack"/>
            <w:bookmarkEnd w:id="0"/>
            <w:r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отне средине; разумевање</w:t>
            </w:r>
            <w:r w:rsidR="008A63C4"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 xml:space="preserve"> шта је </w:t>
            </w:r>
            <w:r w:rsidR="004A7B01"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појам и употреба</w:t>
            </w:r>
            <w:r w:rsidR="00E3330C"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 xml:space="preserve"> циркуларне економије; </w:t>
            </w:r>
            <w:r w:rsidR="004762D7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упознавање</w:t>
            </w:r>
            <w:r w:rsidR="00D44F43"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 xml:space="preserve"> важност</w:t>
            </w:r>
            <w:r w:rsidR="004762D7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и</w:t>
            </w:r>
            <w:r w:rsidR="00D44F43"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 xml:space="preserve"> пр</w:t>
            </w:r>
            <w:r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инципа предострожности; упознавање са законским прописма</w:t>
            </w:r>
            <w:r w:rsidR="00D44F43"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 xml:space="preserve"> </w:t>
            </w:r>
            <w:r w:rsidR="00E13289"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 xml:space="preserve">из области заштите животне средине; </w:t>
            </w:r>
            <w:r w:rsidR="00D44F43"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 xml:space="preserve"> </w:t>
            </w:r>
            <w:r w:rsidR="004762D7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детаљно упознавање управљања</w:t>
            </w:r>
            <w:r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 xml:space="preserve"> отпадом, посебним токовима отпада, </w:t>
            </w:r>
            <w:r w:rsidR="004762D7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животним циклусом производа,</w:t>
            </w:r>
            <w:r w:rsidR="004762D7" w:rsidRPr="00E92FBD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 xml:space="preserve"> </w:t>
            </w:r>
            <w:r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 xml:space="preserve">као и управљање хемикалијама; </w:t>
            </w:r>
            <w:r w:rsidR="004762D7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 xml:space="preserve">упознавање са мониторингом емисија, израдом катастра  загађивача </w:t>
            </w:r>
            <w:r w:rsidR="008A63C4"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у индустрији</w:t>
            </w:r>
            <w:r w:rsidR="004762D7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, као и евиденције о отпаду</w:t>
            </w:r>
            <w:r w:rsidR="00C47560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.</w:t>
            </w:r>
            <w:r w:rsidR="00E3330C" w:rsidRPr="00B01E76">
              <w:rPr>
                <w:rFonts w:ascii="Times New Roman" w:eastAsiaTheme="minorEastAsia" w:hAnsi="Times New Roman"/>
                <w:color w:val="212121"/>
                <w:sz w:val="24"/>
                <w:szCs w:val="24"/>
                <w:lang w:val="sr-Latn-CS"/>
              </w:rPr>
              <w:t xml:space="preserve"> </w:t>
            </w:r>
          </w:p>
        </w:tc>
      </w:tr>
      <w:tr w:rsidR="00753014" w:rsidRPr="00C24540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B01E76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01E7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35F8A" w:rsidRPr="00B01E76" w:rsidRDefault="00753014" w:rsidP="00B01E76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16"/>
                <w:szCs w:val="16"/>
                <w:lang w:val="sr-Cyrl-CS"/>
              </w:rPr>
            </w:pPr>
            <w:r w:rsidRPr="00B01E76">
              <w:rPr>
                <w:rFonts w:ascii="Times New Roman" w:hAnsi="Times New Roman"/>
                <w:i/>
                <w:iCs/>
                <w:sz w:val="16"/>
                <w:szCs w:val="16"/>
                <w:lang w:val="sr-Cyrl-CS"/>
              </w:rPr>
              <w:t>Теоријска настава</w:t>
            </w:r>
          </w:p>
          <w:p w:rsidR="0061409E" w:rsidRPr="00236C50" w:rsidRDefault="00935F8A" w:rsidP="0047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ru-RU"/>
              </w:rPr>
            </w:pPr>
            <w:r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• Систем менаџмента животном средином (</w:t>
            </w:r>
            <w:r w:rsidRPr="00B01E76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ISO</w:t>
            </w:r>
            <w:r w:rsidRPr="00236C50">
              <w:rPr>
                <w:rFonts w:ascii="Times New Roman" w:eastAsia="Times New Roman" w:hAnsi="Times New Roman"/>
                <w:color w:val="222222"/>
                <w:sz w:val="16"/>
                <w:szCs w:val="16"/>
                <w:lang w:val="ru-RU"/>
              </w:rPr>
              <w:t xml:space="preserve"> 14001:2015)</w:t>
            </w:r>
            <w:r w:rsidR="00BE1DEC" w:rsidRPr="00236C50">
              <w:rPr>
                <w:rFonts w:ascii="Times New Roman" w:eastAsia="Times New Roman" w:hAnsi="Times New Roman"/>
                <w:color w:val="222222"/>
                <w:sz w:val="16"/>
                <w:szCs w:val="16"/>
                <w:lang w:val="ru-RU"/>
              </w:rPr>
              <w:t xml:space="preserve"> </w:t>
            </w:r>
            <w:r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• Индентификација и вредновање законских прописа из области заштите животне средине  • Принцип предострожности  • Мониторинг животне средине (праћење емисије у ваздух, воде, земљи</w:t>
            </w:r>
            <w:r w:rsidRPr="00C24540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ru-RU"/>
              </w:rPr>
              <w:t>ште</w:t>
            </w:r>
            <w:r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,</w:t>
            </w:r>
            <w:r w:rsidRPr="00236C50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ru-RU"/>
              </w:rPr>
              <w:t xml:space="preserve"> </w:t>
            </w:r>
            <w:r w:rsidRPr="00C24540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ru-RU"/>
              </w:rPr>
              <w:t>као и</w:t>
            </w:r>
            <w:r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 xml:space="preserve"> бука у животној средини)  • Управљање хемикалијама, изливање хемикалијa и израда безбедносних листова  • Планови управљања отпадом  • Циркуларна економија – </w:t>
            </w:r>
            <w:r w:rsidRPr="00C24540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ru-RU"/>
              </w:rPr>
              <w:t>индустријски систем заснован на обновљивости и регенерацији</w:t>
            </w:r>
            <w:r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 xml:space="preserve">  • Угљеников отисак  • Извештај надлежних органа Републике Србије (Национални регистар извора загађења, Посебни токови отпада, Национални регистар извора загађења)  • Животни циклус производа (одр</w:t>
            </w:r>
            <w:r w:rsidRPr="00C24540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ru-RU"/>
              </w:rPr>
              <w:t>ж</w:t>
            </w:r>
            <w:r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иво управљање амбала</w:t>
            </w:r>
            <w:r w:rsidRPr="00C24540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ru-RU"/>
              </w:rPr>
              <w:t>ж</w:t>
            </w:r>
            <w:r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ом и амбала</w:t>
            </w:r>
            <w:r w:rsidRPr="00C24540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ru-RU"/>
              </w:rPr>
              <w:t>ж</w:t>
            </w:r>
            <w:r w:rsidRPr="00B01E76">
              <w:rPr>
                <w:rFonts w:ascii="Times New Roman" w:eastAsiaTheme="minorEastAsia" w:hAnsi="Times New Roman"/>
                <w:color w:val="212121"/>
                <w:sz w:val="16"/>
                <w:szCs w:val="16"/>
                <w:lang w:val="sr-Latn-CS"/>
              </w:rPr>
              <w:t>ним отпадом)</w:t>
            </w:r>
          </w:p>
          <w:p w:rsidR="008805F2" w:rsidRPr="00B01E76" w:rsidRDefault="00753014" w:rsidP="00B01E76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16"/>
                <w:szCs w:val="16"/>
                <w:lang w:val="sr-Cyrl-CS"/>
              </w:rPr>
            </w:pPr>
            <w:r w:rsidRPr="00B01E76">
              <w:rPr>
                <w:rFonts w:ascii="Times New Roman" w:hAnsi="Times New Roman"/>
                <w:i/>
                <w:iCs/>
                <w:sz w:val="16"/>
                <w:szCs w:val="16"/>
                <w:lang w:val="sr-Cyrl-CS"/>
              </w:rPr>
              <w:t>Практична настава</w:t>
            </w:r>
          </w:p>
          <w:p w:rsidR="00753014" w:rsidRPr="00C24540" w:rsidRDefault="008805F2" w:rsidP="00B01E76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16"/>
                <w:szCs w:val="16"/>
                <w:lang w:val="ru-RU"/>
              </w:rPr>
            </w:pPr>
            <w:r w:rsidRPr="00C24540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 xml:space="preserve">Методологија </w:t>
            </w:r>
            <w:r w:rsidR="00F87F83" w:rsidRPr="00C24540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за израду регистра извора загађивања</w:t>
            </w:r>
            <w:r w:rsidR="00C47560" w:rsidRPr="00C24540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 xml:space="preserve"> (национални и локални)</w:t>
            </w:r>
            <w:r w:rsidR="00753014" w:rsidRPr="00B01E76">
              <w:rPr>
                <w:rFonts w:ascii="Times New Roman" w:hAnsi="Times New Roman"/>
                <w:i/>
                <w:iCs/>
                <w:sz w:val="16"/>
                <w:szCs w:val="16"/>
                <w:lang w:val="sr-Cyrl-CS"/>
              </w:rPr>
              <w:t xml:space="preserve"> </w:t>
            </w:r>
            <w:r w:rsidR="00F87F83" w:rsidRPr="00B01E76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и начина прикупљања података</w:t>
            </w:r>
            <w:r w:rsidR="0061409E" w:rsidRPr="00B01E76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; принципи предострожности </w:t>
            </w:r>
            <w:r w:rsidR="001471C8" w:rsidRPr="00B01E76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и преузимање превентивног деловања у случају неизвесности </w:t>
            </w:r>
            <w:r w:rsidR="0061409E" w:rsidRPr="00B01E76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(нанотехнологије, азбест)</w:t>
            </w:r>
            <w:r w:rsidR="001471C8" w:rsidRPr="00B01E76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;</w:t>
            </w:r>
            <w:r w:rsidR="00B01E76" w:rsidRPr="00B01E76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дневне и годишње евиденције о отпаду са упуством за попуњавање</w:t>
            </w:r>
            <w:r w:rsidR="00C47560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; упуство за израду безбедносних листова (</w:t>
            </w:r>
            <w:r w:rsidR="00C47560">
              <w:rPr>
                <w:rFonts w:ascii="Times New Roman" w:hAnsi="Times New Roman"/>
                <w:iCs/>
                <w:sz w:val="16"/>
                <w:szCs w:val="16"/>
              </w:rPr>
              <w:t>MSDS</w:t>
            </w:r>
            <w:r w:rsidR="00C47560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)</w:t>
            </w:r>
            <w:r w:rsidR="00102420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; </w:t>
            </w:r>
            <w:r w:rsidR="00102420" w:rsidRPr="00C24540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одређивање угљениковог отиска</w:t>
            </w:r>
            <w:r w:rsidR="00B01E76" w:rsidRPr="00B01E76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</w:t>
            </w:r>
          </w:p>
        </w:tc>
      </w:tr>
      <w:tr w:rsidR="00753014" w:rsidRPr="00092214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4762D7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5C7FF2" w:rsidRPr="00C24540" w:rsidRDefault="003F1679" w:rsidP="004762D7">
            <w:pPr>
              <w:jc w:val="both"/>
              <w:rPr>
                <w:rFonts w:ascii="Times New Roman" w:hAnsi="Times New Roman"/>
                <w:i/>
                <w:sz w:val="16"/>
                <w:szCs w:val="16"/>
                <w:lang w:val="ru-RU"/>
              </w:rPr>
            </w:pPr>
            <w:r w:rsidRPr="004762D7">
              <w:rPr>
                <w:rFonts w:ascii="Times New Roman" w:hAnsi="Times New Roman"/>
                <w:i/>
                <w:sz w:val="16"/>
                <w:szCs w:val="16"/>
              </w:rPr>
              <w:t>O</w:t>
            </w:r>
            <w:r w:rsidRPr="00C24540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>бавезна</w:t>
            </w:r>
          </w:p>
          <w:p w:rsidR="008B3E5E" w:rsidRPr="006B4D37" w:rsidRDefault="008B3E5E" w:rsidP="008B3E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</w:pPr>
            <w:r w:rsidRPr="006B4D37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Lili</w:t>
            </w:r>
            <w:r w:rsidRPr="00236C50">
              <w:rPr>
                <w:rFonts w:ascii="Times New Roman" w:eastAsia="Times New Roman" w:hAnsi="Times New Roman"/>
                <w:color w:val="222222"/>
                <w:sz w:val="16"/>
                <w:szCs w:val="16"/>
                <w:lang w:val="ru-RU"/>
              </w:rPr>
              <w:t xml:space="preserve">ć </w:t>
            </w:r>
            <w:r w:rsidRPr="006B4D37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S</w:t>
            </w:r>
            <w:r w:rsidRPr="00236C50">
              <w:rPr>
                <w:rFonts w:ascii="Times New Roman" w:eastAsia="Times New Roman" w:hAnsi="Times New Roman"/>
                <w:color w:val="222222"/>
                <w:sz w:val="16"/>
                <w:szCs w:val="16"/>
                <w:lang w:val="ru-RU"/>
              </w:rPr>
              <w:t xml:space="preserve">. (2014) </w:t>
            </w:r>
            <w:r w:rsidRPr="006B4D37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Ekolo</w:t>
            </w:r>
            <w:r w:rsidRPr="00236C50">
              <w:rPr>
                <w:rFonts w:ascii="Times New Roman" w:eastAsia="Times New Roman" w:hAnsi="Times New Roman"/>
                <w:color w:val="222222"/>
                <w:sz w:val="16"/>
                <w:szCs w:val="16"/>
                <w:lang w:val="ru-RU"/>
              </w:rPr>
              <w:t>š</w:t>
            </w:r>
            <w:r w:rsidRPr="006B4D37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ko</w:t>
            </w:r>
            <w:r w:rsidRPr="00236C50">
              <w:rPr>
                <w:rFonts w:ascii="Times New Roman" w:eastAsia="Times New Roman" w:hAnsi="Times New Roman"/>
                <w:color w:val="222222"/>
                <w:sz w:val="16"/>
                <w:szCs w:val="16"/>
                <w:lang w:val="ru-RU"/>
              </w:rPr>
              <w:t xml:space="preserve"> </w:t>
            </w:r>
            <w:r w:rsidRPr="006B4D37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pravo</w:t>
            </w:r>
            <w:r w:rsidRPr="00236C50">
              <w:rPr>
                <w:rFonts w:ascii="Times New Roman" w:eastAsia="Times New Roman" w:hAnsi="Times New Roman"/>
                <w:color w:val="222222"/>
                <w:sz w:val="16"/>
                <w:szCs w:val="16"/>
                <w:lang w:val="ru-RU"/>
              </w:rPr>
              <w:t xml:space="preserve">. </w:t>
            </w:r>
            <w:r w:rsidRPr="006B4D37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Beograd: Pravni fakultet.</w:t>
            </w:r>
          </w:p>
          <w:p w:rsidR="008B3E5E" w:rsidRPr="006B4D37" w:rsidRDefault="008B3E5E" w:rsidP="008B3E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</w:pPr>
            <w:r w:rsidRPr="006B4D37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Milanović M. (2009) Ekološki menadžment. Beograd: Geografski fakultet.</w:t>
            </w:r>
          </w:p>
          <w:p w:rsidR="00E92FBD" w:rsidRPr="006B4D37" w:rsidRDefault="006B4D37" w:rsidP="008B3E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</w:pPr>
            <w:r w:rsidRPr="006B4D37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Filipović, D.</w:t>
            </w:r>
            <w:r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 xml:space="preserve"> </w:t>
            </w:r>
            <w:r w:rsidRPr="006B4D37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&amp;</w:t>
            </w:r>
            <w:r w:rsidR="00E92FBD" w:rsidRPr="006B4D37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 xml:space="preserve"> Ilić, M. (2011) Lokalni plan upravljanja ot</w:t>
            </w:r>
            <w:r w:rsidRPr="006B4D37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padom za grad Beograd 2011-2020.</w:t>
            </w:r>
            <w:r w:rsidR="00E92FBD" w:rsidRPr="006B4D37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 xml:space="preserve"> </w:t>
            </w:r>
            <w:r w:rsidR="001E1BC8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 xml:space="preserve">Beograd: </w:t>
            </w:r>
            <w:r w:rsidR="00E92FBD" w:rsidRPr="006B4D37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 xml:space="preserve">Gradska uprava grada Beograda, Sekretarijat za </w:t>
            </w:r>
            <w:r w:rsidR="001E1BC8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zaštitu životne sredine</w:t>
            </w:r>
            <w:r w:rsidR="00E92FBD" w:rsidRPr="006B4D37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.</w:t>
            </w:r>
          </w:p>
          <w:p w:rsidR="000A1FFF" w:rsidRPr="00E92FBD" w:rsidRDefault="000A1FFF" w:rsidP="000A1FFF">
            <w:pPr>
              <w:jc w:val="both"/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</w:pPr>
            <w:r w:rsidRPr="006B4D37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ISO 14001:2015</w:t>
            </w:r>
          </w:p>
          <w:p w:rsidR="008B3E5E" w:rsidRPr="00E92FBD" w:rsidRDefault="006B4D37" w:rsidP="008B3E5E">
            <w:pPr>
              <w:jc w:val="both"/>
              <w:rPr>
                <w:rFonts w:ascii="Times New Roman" w:eastAsia="Times New Roman" w:hAnsi="Times New Roman"/>
                <w:color w:val="1D2228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1D2228"/>
                <w:sz w:val="16"/>
                <w:szCs w:val="16"/>
              </w:rPr>
              <w:t>Rizos, V., Tuokko, K. &amp;</w:t>
            </w:r>
            <w:r w:rsidR="008B3E5E" w:rsidRPr="00E92FBD">
              <w:rPr>
                <w:rFonts w:ascii="Times New Roman" w:eastAsia="Times New Roman" w:hAnsi="Times New Roman"/>
                <w:color w:val="1D2228"/>
                <w:sz w:val="16"/>
                <w:szCs w:val="16"/>
              </w:rPr>
              <w:t xml:space="preserve"> Behrens, A. (2017) The Circular Economy</w:t>
            </w:r>
            <w:r w:rsidR="000A1FFF">
              <w:rPr>
                <w:rFonts w:ascii="Times New Roman" w:eastAsia="Times New Roman" w:hAnsi="Times New Roman"/>
                <w:color w:val="1D2228"/>
                <w:sz w:val="16"/>
                <w:szCs w:val="16"/>
              </w:rPr>
              <w:t>:</w:t>
            </w:r>
            <w:r w:rsidR="008B3E5E" w:rsidRPr="00E92FBD">
              <w:rPr>
                <w:rFonts w:ascii="Times New Roman" w:eastAsia="Times New Roman" w:hAnsi="Times New Roman"/>
                <w:color w:val="1D2228"/>
                <w:sz w:val="16"/>
                <w:szCs w:val="16"/>
              </w:rPr>
              <w:t xml:space="preserve"> A review of definitions, processes and impacts.</w:t>
            </w:r>
            <w:r w:rsidR="008B3E5E" w:rsidRPr="00E92FBD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 w:rsidR="008B3E5E" w:rsidRPr="00E92FBD">
              <w:rPr>
                <w:rFonts w:ascii="Times New Roman" w:eastAsia="Times New Roman" w:hAnsi="Times New Roman"/>
                <w:color w:val="1D2228"/>
                <w:sz w:val="16"/>
                <w:szCs w:val="16"/>
              </w:rPr>
              <w:t>CEPS Research report.    </w:t>
            </w:r>
          </w:p>
          <w:p w:rsidR="003F1679" w:rsidRPr="004762D7" w:rsidRDefault="003F1679" w:rsidP="00C45FC4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4762D7">
              <w:rPr>
                <w:rFonts w:ascii="Times New Roman" w:hAnsi="Times New Roman"/>
                <w:i/>
                <w:sz w:val="16"/>
                <w:szCs w:val="16"/>
              </w:rPr>
              <w:t>Допунска</w:t>
            </w:r>
          </w:p>
          <w:p w:rsidR="001E1BC8" w:rsidRPr="00E92FBD" w:rsidRDefault="001E1BC8" w:rsidP="003F1679">
            <w:pPr>
              <w:jc w:val="both"/>
              <w:rPr>
                <w:rFonts w:ascii="Times New Roman" w:eastAsia="Times New Roman" w:hAnsi="Times New Roman"/>
                <w:color w:val="1D2228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1D2228"/>
                <w:sz w:val="16"/>
                <w:szCs w:val="16"/>
              </w:rPr>
              <w:t xml:space="preserve">Mitrović, S., Radosavljević, I. &amp; Veselinov, </w:t>
            </w:r>
            <w:r w:rsidR="003F1679" w:rsidRPr="00E92FBD">
              <w:rPr>
                <w:rFonts w:ascii="Times New Roman" w:eastAsia="Times New Roman" w:hAnsi="Times New Roman"/>
                <w:color w:val="1D2228"/>
                <w:sz w:val="16"/>
                <w:szCs w:val="16"/>
              </w:rPr>
              <w:t xml:space="preserve">M. </w:t>
            </w:r>
            <w:r w:rsidR="00E3330C" w:rsidRPr="00E92FBD">
              <w:rPr>
                <w:rFonts w:ascii="Times New Roman" w:eastAsia="Times New Roman" w:hAnsi="Times New Roman"/>
                <w:color w:val="1D2228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/>
                <w:color w:val="1D2228"/>
                <w:sz w:val="16"/>
                <w:szCs w:val="16"/>
              </w:rPr>
              <w:t>2017</w:t>
            </w:r>
            <w:r w:rsidR="00E3330C" w:rsidRPr="00E92FBD">
              <w:rPr>
                <w:rFonts w:ascii="Times New Roman" w:eastAsia="Times New Roman" w:hAnsi="Times New Roman"/>
                <w:color w:val="1D2228"/>
                <w:sz w:val="16"/>
                <w:szCs w:val="16"/>
              </w:rPr>
              <w:t>)</w:t>
            </w:r>
            <w:r w:rsidR="003F1679" w:rsidRPr="00E92FBD">
              <w:rPr>
                <w:rFonts w:ascii="Times New Roman" w:eastAsia="Times New Roman" w:hAnsi="Times New Roman"/>
                <w:color w:val="1D2228"/>
                <w:sz w:val="16"/>
                <w:szCs w:val="16"/>
              </w:rPr>
              <w:t>  Cirkualrna ekonomija kao šansa za razvoj Srbije. </w:t>
            </w:r>
            <w:r>
              <w:rPr>
                <w:rFonts w:ascii="Times New Roman" w:eastAsia="Times New Roman" w:hAnsi="Times New Roman"/>
                <w:color w:val="1D2228"/>
                <w:sz w:val="16"/>
                <w:szCs w:val="16"/>
              </w:rPr>
              <w:t>Beograd: Organization for Security and Co-operation in Europe.</w:t>
            </w:r>
          </w:p>
          <w:p w:rsidR="00E92FBD" w:rsidRPr="00E92FBD" w:rsidRDefault="00E92FBD" w:rsidP="003F1679">
            <w:pPr>
              <w:jc w:val="both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E92FBD">
              <w:rPr>
                <w:rFonts w:ascii="Times New Roman" w:hAnsi="Times New Roman"/>
                <w:sz w:val="16"/>
                <w:szCs w:val="16"/>
              </w:rPr>
              <w:t xml:space="preserve">EEA (2001) </w:t>
            </w:r>
            <w:r w:rsidRPr="00E92FBD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Late lessons from early warnings: the precautionary principle 1896–2000</w:t>
            </w:r>
            <w:r w:rsidR="001E1BC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.</w:t>
            </w:r>
          </w:p>
          <w:p w:rsidR="00753014" w:rsidRPr="00E92FBD" w:rsidRDefault="004A64D1" w:rsidP="001024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Zakon o zaštiti životne sredine</w:t>
            </w:r>
            <w:r w:rsidR="00102420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; Zakon o zaštiti vazduha; Za</w:t>
            </w:r>
            <w:r w:rsidR="007A135E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kon o vodama; Zakon o zaštiti ze</w:t>
            </w:r>
            <w:r w:rsidR="00102420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 xml:space="preserve">mljišta; Zakon o zaštiti od buke u životnoj sredini; </w:t>
            </w:r>
            <w:r w:rsidR="008805F2" w:rsidRPr="00E92FBD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Pravilnik o metodologiji za izradu nacionalnog i lokalnog registra izvora zagađivanja, kao i metodologiji za vrste, načine i rokove prikupljanja podataka ("Službeni glasnik RS", br. 91/2010, 10/2013 i 98/2016)</w:t>
            </w:r>
            <w:r w:rsidR="00E92FBD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 xml:space="preserve">; </w:t>
            </w:r>
            <w:r w:rsidR="001471C8" w:rsidRPr="00E92FBD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Zakon o hemikalijama ("Službeni glasnik RS", br.36/2009, 88</w:t>
            </w:r>
            <w:r w:rsidR="00FD1F70" w:rsidRPr="00E92FBD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/2010, 92/2011, 93/2012 i 25/2015)</w:t>
            </w:r>
            <w:r w:rsidR="00E92FBD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 xml:space="preserve">; </w:t>
            </w:r>
            <w:r w:rsidR="00C47560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Zakon o upravljanju otpadom</w:t>
            </w:r>
            <w:r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 xml:space="preserve"> </w:t>
            </w:r>
            <w:r w:rsidRPr="00E92FBD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("Službeni glasnik RS", br</w:t>
            </w:r>
            <w:r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 xml:space="preserve"> 36/2009, 88/2010, 14/2016, 95/2018); </w:t>
            </w:r>
            <w:r w:rsidR="008B3E5E" w:rsidRPr="00E92FBD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Pravilnik o obrascu dnevne evidencije i godišnjeg izveštaja o otpadu sa uputstvom za njegovo popunjavanje ("Službeni glasni</w:t>
            </w:r>
            <w:r w:rsidR="00E92FBD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 xml:space="preserve">k RS", broj 95/2010 I 88/2015); </w:t>
            </w:r>
            <w:r w:rsidR="008B3E5E" w:rsidRPr="00E92FBD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Uredba o proizvodima koji posle upotrebe postaju posebni tokovi otpada, obrascu dnevne evidencije o količini i vrsti proizvedenih i uvezenih proizvoda i godišnjeg izveštaja, načinu i rokovima dostavljanja godišnjeg izveštaja, obveznicima plaćanja naknade, kriterijumima za obračun, visinu i način obračunavanja i plaćanja naknade ("Službeni glasnik RS", br. 54/2010, 86/2011, 41/2013 - dr. pravilnik i 3/2014)</w:t>
            </w:r>
            <w:r w:rsidR="00E92FBD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;</w:t>
            </w:r>
            <w:r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 xml:space="preserve"> </w:t>
            </w:r>
            <w:r w:rsidR="00D33AFA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Zakon o ambalaž</w:t>
            </w:r>
            <w:r w:rsidR="00E92FBD" w:rsidRPr="00E92FBD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nom otpadu (Sl.Glasnik RS br. 36/2009 i 95/2018)</w:t>
            </w:r>
          </w:p>
        </w:tc>
      </w:tr>
      <w:tr w:rsidR="00753014" w:rsidRPr="00092214" w:rsidTr="00DB67E6">
        <w:trPr>
          <w:trHeight w:val="227"/>
          <w:jc w:val="center"/>
        </w:trPr>
        <w:tc>
          <w:tcPr>
            <w:tcW w:w="3050" w:type="dxa"/>
            <w:vAlign w:val="center"/>
          </w:tcPr>
          <w:p w:rsidR="00753014" w:rsidRPr="00092214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40" w:type="dxa"/>
            <w:gridSpan w:val="2"/>
            <w:vAlign w:val="center"/>
          </w:tcPr>
          <w:p w:rsidR="00753014" w:rsidRPr="00092214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B67E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B67E6" w:rsidRPr="00DB67E6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7" w:type="dxa"/>
            <w:gridSpan w:val="2"/>
            <w:vAlign w:val="center"/>
          </w:tcPr>
          <w:p w:rsidR="00753014" w:rsidRPr="00092214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DB67E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B67E6" w:rsidRPr="00DB67E6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753014" w:rsidRPr="00C24540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753014" w:rsidRPr="00C24540" w:rsidRDefault="00DB67E6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ru-RU"/>
              </w:rPr>
            </w:pPr>
            <w:r w:rsidRPr="00C24540">
              <w:rPr>
                <w:rFonts w:ascii="Times New Roman" w:hAnsi="Times New Roman"/>
                <w:lang w:val="ru-RU"/>
              </w:rPr>
              <w:t>П</w:t>
            </w:r>
            <w:r w:rsidR="006F50F9" w:rsidRPr="00C24540">
              <w:rPr>
                <w:rFonts w:ascii="Times New Roman" w:hAnsi="Times New Roman"/>
                <w:lang w:val="ru-RU"/>
              </w:rPr>
              <w:t>редавања, практична настава</w:t>
            </w:r>
          </w:p>
        </w:tc>
      </w:tr>
      <w:tr w:rsidR="00753014" w:rsidRPr="00C24540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53014" w:rsidRPr="00092214" w:rsidTr="00DB67E6">
        <w:trPr>
          <w:trHeight w:val="227"/>
          <w:jc w:val="center"/>
        </w:trPr>
        <w:tc>
          <w:tcPr>
            <w:tcW w:w="3050" w:type="dxa"/>
            <w:vAlign w:val="center"/>
          </w:tcPr>
          <w:p w:rsidR="00753014" w:rsidRPr="00092214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0" w:type="dxa"/>
            <w:vAlign w:val="center"/>
          </w:tcPr>
          <w:p w:rsidR="00753014" w:rsidRPr="00092214" w:rsidRDefault="005C7FF2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753014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  <w:p w:rsidR="00753014" w:rsidRPr="00092214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02" w:type="dxa"/>
            <w:gridSpan w:val="2"/>
            <w:shd w:val="clear" w:color="auto" w:fill="auto"/>
            <w:vAlign w:val="center"/>
          </w:tcPr>
          <w:p w:rsidR="00753014" w:rsidRPr="00092214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092214" w:rsidRDefault="004762D7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753014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</w:tr>
      <w:tr w:rsidR="00753014" w:rsidRPr="00092214" w:rsidTr="00DB67E6">
        <w:trPr>
          <w:trHeight w:val="227"/>
          <w:jc w:val="center"/>
        </w:trPr>
        <w:tc>
          <w:tcPr>
            <w:tcW w:w="3050" w:type="dxa"/>
            <w:vAlign w:val="center"/>
          </w:tcPr>
          <w:p w:rsidR="00753014" w:rsidRPr="00092214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0" w:type="dxa"/>
            <w:vAlign w:val="center"/>
          </w:tcPr>
          <w:p w:rsidR="00753014" w:rsidRPr="00DB67E6" w:rsidRDefault="00DB67E6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B67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02" w:type="dxa"/>
            <w:gridSpan w:val="2"/>
            <w:shd w:val="clear" w:color="auto" w:fill="auto"/>
            <w:vAlign w:val="center"/>
          </w:tcPr>
          <w:p w:rsidR="00753014" w:rsidRPr="00092214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DB67E6" w:rsidRDefault="00DB67E6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B67E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753014" w:rsidRPr="00092214" w:rsidTr="00DB67E6">
        <w:trPr>
          <w:trHeight w:val="227"/>
          <w:jc w:val="center"/>
        </w:trPr>
        <w:tc>
          <w:tcPr>
            <w:tcW w:w="3050" w:type="dxa"/>
            <w:vAlign w:val="center"/>
          </w:tcPr>
          <w:p w:rsidR="00753014" w:rsidRPr="00092214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0" w:type="dxa"/>
            <w:vAlign w:val="center"/>
          </w:tcPr>
          <w:p w:rsidR="00753014" w:rsidRPr="00DB67E6" w:rsidRDefault="003F206B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102" w:type="dxa"/>
            <w:gridSpan w:val="2"/>
            <w:shd w:val="clear" w:color="auto" w:fill="auto"/>
            <w:vAlign w:val="center"/>
          </w:tcPr>
          <w:p w:rsidR="00753014" w:rsidRPr="00092214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092214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C24540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</w:tbl>
    <w:p w:rsidR="005340C9" w:rsidRPr="00236C50" w:rsidRDefault="005340C9" w:rsidP="00A756DE">
      <w:pPr>
        <w:rPr>
          <w:rFonts w:ascii="Times New Roman" w:hAnsi="Times New Roman"/>
          <w:bCs/>
          <w:lang w:val="ru-RU"/>
        </w:rPr>
      </w:pPr>
    </w:p>
    <w:sectPr w:rsidR="005340C9" w:rsidRPr="00236C50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6377C"/>
    <w:multiLevelType w:val="hybridMultilevel"/>
    <w:tmpl w:val="8FF4E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7D499C"/>
    <w:multiLevelType w:val="hybridMultilevel"/>
    <w:tmpl w:val="3266C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621244"/>
    <w:multiLevelType w:val="multilevel"/>
    <w:tmpl w:val="F2F69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341CDD"/>
    <w:multiLevelType w:val="hybridMultilevel"/>
    <w:tmpl w:val="FDF2CA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753014"/>
    <w:rsid w:val="00013FDF"/>
    <w:rsid w:val="000A1FFF"/>
    <w:rsid w:val="00102420"/>
    <w:rsid w:val="00105ABD"/>
    <w:rsid w:val="001471C8"/>
    <w:rsid w:val="001E1BC8"/>
    <w:rsid w:val="00204A48"/>
    <w:rsid w:val="00236C50"/>
    <w:rsid w:val="0037613C"/>
    <w:rsid w:val="003F1679"/>
    <w:rsid w:val="003F206B"/>
    <w:rsid w:val="004762D7"/>
    <w:rsid w:val="004A230D"/>
    <w:rsid w:val="004A64D1"/>
    <w:rsid w:val="004A7B01"/>
    <w:rsid w:val="005340C9"/>
    <w:rsid w:val="005C7FF2"/>
    <w:rsid w:val="005F4F7C"/>
    <w:rsid w:val="0061409E"/>
    <w:rsid w:val="00635DF4"/>
    <w:rsid w:val="006B4D37"/>
    <w:rsid w:val="006F50F9"/>
    <w:rsid w:val="00753014"/>
    <w:rsid w:val="00772DDB"/>
    <w:rsid w:val="007A135E"/>
    <w:rsid w:val="007A2850"/>
    <w:rsid w:val="007B60E4"/>
    <w:rsid w:val="007F6C3B"/>
    <w:rsid w:val="008805F2"/>
    <w:rsid w:val="008A63C4"/>
    <w:rsid w:val="008B3E5E"/>
    <w:rsid w:val="00935F8A"/>
    <w:rsid w:val="0098752C"/>
    <w:rsid w:val="00A3388E"/>
    <w:rsid w:val="00A619FD"/>
    <w:rsid w:val="00A756DE"/>
    <w:rsid w:val="00A87274"/>
    <w:rsid w:val="00B016B2"/>
    <w:rsid w:val="00B01E76"/>
    <w:rsid w:val="00B40DBE"/>
    <w:rsid w:val="00BE1DEC"/>
    <w:rsid w:val="00C24540"/>
    <w:rsid w:val="00C45FC4"/>
    <w:rsid w:val="00C47560"/>
    <w:rsid w:val="00D02404"/>
    <w:rsid w:val="00D33AFA"/>
    <w:rsid w:val="00D44F43"/>
    <w:rsid w:val="00DA739A"/>
    <w:rsid w:val="00DB67E6"/>
    <w:rsid w:val="00DE0D2D"/>
    <w:rsid w:val="00E13289"/>
    <w:rsid w:val="00E3330C"/>
    <w:rsid w:val="00E92FBD"/>
    <w:rsid w:val="00EA7765"/>
    <w:rsid w:val="00EE606A"/>
    <w:rsid w:val="00F87F83"/>
    <w:rsid w:val="00FA569B"/>
    <w:rsid w:val="00FD0A58"/>
    <w:rsid w:val="00FD1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7A28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Theme="minorEastAsia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A2850"/>
    <w:rPr>
      <w:rFonts w:ascii="Courier" w:hAnsi="Courier" w:cs="Courier"/>
      <w:sz w:val="20"/>
      <w:szCs w:val="20"/>
    </w:rPr>
  </w:style>
  <w:style w:type="paragraph" w:styleId="ListParagraph">
    <w:name w:val="List Paragraph"/>
    <w:basedOn w:val="Normal"/>
    <w:uiPriority w:val="34"/>
    <w:qFormat/>
    <w:rsid w:val="004A7B01"/>
    <w:pPr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4</cp:revision>
  <dcterms:created xsi:type="dcterms:W3CDTF">2019-05-06T08:52:00Z</dcterms:created>
  <dcterms:modified xsi:type="dcterms:W3CDTF">2019-05-20T07:04:00Z</dcterms:modified>
</cp:coreProperties>
</file>